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50" w:rsidRDefault="00EB2221" w:rsidP="00EB2221">
      <w:pPr>
        <w:jc w:val="center"/>
        <w:rPr>
          <w:rFonts w:cs="Arial"/>
          <w:b/>
          <w:bCs/>
          <w:sz w:val="24"/>
          <w:szCs w:val="24"/>
          <w:lang w:val="en-US"/>
        </w:rPr>
      </w:pPr>
      <w:bookmarkStart w:id="0" w:name="_GoBack"/>
      <w:bookmarkEnd w:id="0"/>
      <w:r w:rsidRPr="00EB2221">
        <w:rPr>
          <w:rFonts w:cs="Arial"/>
          <w:b/>
          <w:bCs/>
          <w:sz w:val="24"/>
          <w:szCs w:val="24"/>
          <w:lang w:val="en-US"/>
        </w:rPr>
        <w:t>STOCKPORT COUNCIL'S CHARGING PRINCIPLES</w:t>
      </w:r>
    </w:p>
    <w:p w:rsidR="00EB2221" w:rsidRDefault="00EB2221" w:rsidP="00EB2221">
      <w:pPr>
        <w:jc w:val="center"/>
        <w:rPr>
          <w:rFonts w:cs="Arial"/>
          <w:b/>
          <w:bCs/>
          <w:sz w:val="24"/>
          <w:szCs w:val="24"/>
          <w:lang w:val="en-US"/>
        </w:rPr>
      </w:pPr>
    </w:p>
    <w:p w:rsidR="00EB2221" w:rsidRDefault="00EB2221" w:rsidP="00EB2221">
      <w:pPr>
        <w:jc w:val="center"/>
        <w:rPr>
          <w:rFonts w:cs="Arial"/>
          <w:b/>
          <w:bCs/>
          <w:sz w:val="24"/>
          <w:szCs w:val="24"/>
          <w:lang w:val="en-US"/>
        </w:rPr>
      </w:pPr>
    </w:p>
    <w:p w:rsidR="002D1350" w:rsidRPr="00EB2221" w:rsidRDefault="00EB2221" w:rsidP="00EB2221">
      <w:pPr>
        <w:numPr>
          <w:ilvl w:val="0"/>
          <w:numId w:val="4"/>
        </w:numPr>
        <w:spacing w:after="240"/>
        <w:rPr>
          <w:rFonts w:cs="Arial"/>
          <w:sz w:val="24"/>
          <w:szCs w:val="24"/>
        </w:rPr>
      </w:pPr>
      <w:r w:rsidRPr="00EB2221">
        <w:rPr>
          <w:rFonts w:cs="Arial"/>
          <w:sz w:val="24"/>
          <w:szCs w:val="24"/>
        </w:rPr>
        <w:t>Fees and charges will be linked to the Authority’s priorities, outcomes and values and our statutory obligations</w:t>
      </w:r>
    </w:p>
    <w:p w:rsidR="002D1350" w:rsidRPr="00EB2221" w:rsidRDefault="00EB2221" w:rsidP="00EB2221">
      <w:pPr>
        <w:numPr>
          <w:ilvl w:val="0"/>
          <w:numId w:val="4"/>
        </w:numPr>
        <w:spacing w:after="240"/>
        <w:rPr>
          <w:rFonts w:cs="Arial"/>
          <w:sz w:val="24"/>
          <w:szCs w:val="24"/>
        </w:rPr>
      </w:pPr>
      <w:r w:rsidRPr="00EB2221">
        <w:rPr>
          <w:rFonts w:cs="Arial"/>
          <w:sz w:val="24"/>
          <w:szCs w:val="24"/>
        </w:rPr>
        <w:t>We will strive to keep customers at the heart of what we do; charging decisions will balance the need to remain financially viable with our ambition to remain citizen/customer focussed</w:t>
      </w:r>
    </w:p>
    <w:p w:rsidR="002D1350" w:rsidRPr="00EB2221" w:rsidRDefault="00EB2221" w:rsidP="00EB2221">
      <w:pPr>
        <w:numPr>
          <w:ilvl w:val="0"/>
          <w:numId w:val="4"/>
        </w:numPr>
        <w:spacing w:after="240"/>
        <w:rPr>
          <w:rFonts w:cs="Arial"/>
          <w:sz w:val="24"/>
          <w:szCs w:val="24"/>
        </w:rPr>
      </w:pPr>
      <w:r w:rsidRPr="00EB2221">
        <w:rPr>
          <w:rFonts w:cs="Arial"/>
          <w:sz w:val="24"/>
          <w:szCs w:val="24"/>
        </w:rPr>
        <w:t xml:space="preserve">All income generated will be reinvested to support the work of the authority and protect front line services and reducing the cost of service delivery is paramount </w:t>
      </w:r>
    </w:p>
    <w:p w:rsidR="002D1350" w:rsidRPr="00EB2221" w:rsidRDefault="00EB2221" w:rsidP="00EB2221">
      <w:pPr>
        <w:numPr>
          <w:ilvl w:val="0"/>
          <w:numId w:val="4"/>
        </w:numPr>
        <w:spacing w:after="240"/>
        <w:rPr>
          <w:rFonts w:cs="Arial"/>
          <w:sz w:val="24"/>
          <w:szCs w:val="24"/>
        </w:rPr>
      </w:pPr>
      <w:r w:rsidRPr="00EB2221">
        <w:rPr>
          <w:rFonts w:cs="Arial"/>
          <w:sz w:val="24"/>
          <w:szCs w:val="24"/>
        </w:rPr>
        <w:t xml:space="preserve">Decisions to implement new charging protocols will be implemented consistently across all services with senior level oversight to ensure that the cumulative impact of changes are understood and the focus remains on reducing operating costs </w:t>
      </w:r>
    </w:p>
    <w:p w:rsidR="002D1350" w:rsidRPr="00EB2221" w:rsidRDefault="00EB2221" w:rsidP="00EB2221">
      <w:pPr>
        <w:numPr>
          <w:ilvl w:val="0"/>
          <w:numId w:val="4"/>
        </w:numPr>
        <w:spacing w:after="240"/>
        <w:rPr>
          <w:rFonts w:cs="Arial"/>
          <w:sz w:val="24"/>
          <w:szCs w:val="24"/>
        </w:rPr>
      </w:pPr>
      <w:r w:rsidRPr="00EB2221">
        <w:rPr>
          <w:rFonts w:cs="Arial"/>
          <w:sz w:val="24"/>
          <w:szCs w:val="24"/>
        </w:rPr>
        <w:t xml:space="preserve">The impact of changing a charging protocol for a particular service will be taken into consideration when making a decision to subsidise service delivery </w:t>
      </w:r>
    </w:p>
    <w:p w:rsidR="002D1350" w:rsidRPr="00EB2221" w:rsidRDefault="00EB2221" w:rsidP="00EB2221">
      <w:pPr>
        <w:numPr>
          <w:ilvl w:val="0"/>
          <w:numId w:val="4"/>
        </w:numPr>
        <w:spacing w:after="240"/>
        <w:rPr>
          <w:rFonts w:cs="Arial"/>
          <w:sz w:val="24"/>
          <w:szCs w:val="24"/>
        </w:rPr>
      </w:pPr>
      <w:r w:rsidRPr="00EB2221">
        <w:rPr>
          <w:rFonts w:cs="Arial"/>
          <w:sz w:val="24"/>
          <w:szCs w:val="24"/>
        </w:rPr>
        <w:t xml:space="preserve">We will routinely implement an annual review of costs based on inflationary indicators through delegated authority to officers </w:t>
      </w:r>
    </w:p>
    <w:p w:rsidR="002D1350" w:rsidRPr="00EB2221" w:rsidRDefault="00EB2221" w:rsidP="00EB2221">
      <w:pPr>
        <w:numPr>
          <w:ilvl w:val="0"/>
          <w:numId w:val="4"/>
        </w:numPr>
        <w:spacing w:after="240"/>
        <w:rPr>
          <w:rFonts w:cs="Arial"/>
          <w:sz w:val="24"/>
          <w:szCs w:val="24"/>
        </w:rPr>
      </w:pPr>
      <w:r w:rsidRPr="00EB2221">
        <w:rPr>
          <w:rFonts w:cs="Arial"/>
          <w:sz w:val="24"/>
          <w:szCs w:val="24"/>
        </w:rPr>
        <w:t xml:space="preserve">The approval of other increases in cost will be formalised and may differ depending on the nature of the service and the proposed increase in cost. Some delegated authority may still apply in clearly defined scenarios </w:t>
      </w:r>
    </w:p>
    <w:p w:rsidR="002D1350" w:rsidRPr="00EB2221" w:rsidRDefault="00EB2221" w:rsidP="00EB2221">
      <w:pPr>
        <w:numPr>
          <w:ilvl w:val="0"/>
          <w:numId w:val="4"/>
        </w:numPr>
        <w:spacing w:after="240"/>
        <w:rPr>
          <w:rFonts w:cs="Arial"/>
          <w:sz w:val="24"/>
          <w:szCs w:val="24"/>
        </w:rPr>
      </w:pPr>
      <w:r w:rsidRPr="00EB2221">
        <w:rPr>
          <w:rFonts w:cs="Arial"/>
          <w:sz w:val="24"/>
          <w:szCs w:val="24"/>
        </w:rPr>
        <w:t xml:space="preserve">We will implement a standardised approach to refunds, where full refunds are only offered where there has been no significant financial outlay at the point of request and there is a reasonable expectation that the time allocated to deliver the service can be re-allocated </w:t>
      </w:r>
    </w:p>
    <w:p w:rsidR="002D1350" w:rsidRPr="00EB2221" w:rsidRDefault="00EB2221" w:rsidP="00EB2221">
      <w:pPr>
        <w:numPr>
          <w:ilvl w:val="0"/>
          <w:numId w:val="4"/>
        </w:numPr>
        <w:spacing w:after="240"/>
        <w:rPr>
          <w:rFonts w:cs="Arial"/>
          <w:sz w:val="24"/>
          <w:szCs w:val="24"/>
        </w:rPr>
      </w:pPr>
      <w:r w:rsidRPr="00EB2221">
        <w:rPr>
          <w:rFonts w:cs="Arial"/>
          <w:sz w:val="24"/>
          <w:szCs w:val="24"/>
        </w:rPr>
        <w:t>Payment in advance of service delivery through improved digital channels will be our default cost recovery model. The ability to pay by cheque and/or postal order will be withdrawn; where applicable, robust debt recovery processes shall be implemented</w:t>
      </w:r>
    </w:p>
    <w:p w:rsidR="002D1350" w:rsidRPr="00EB2221" w:rsidRDefault="00EB2221" w:rsidP="00EB2221">
      <w:pPr>
        <w:numPr>
          <w:ilvl w:val="0"/>
          <w:numId w:val="4"/>
        </w:numPr>
        <w:spacing w:after="240"/>
        <w:rPr>
          <w:rFonts w:cs="Arial"/>
          <w:sz w:val="24"/>
          <w:szCs w:val="24"/>
        </w:rPr>
      </w:pPr>
      <w:r w:rsidRPr="00EB2221">
        <w:rPr>
          <w:rFonts w:cs="Arial"/>
          <w:sz w:val="24"/>
          <w:szCs w:val="24"/>
        </w:rPr>
        <w:t>Where appropriate and where we have a financial viable model, which is competitive in terms of cost and/or quality we will take steps to increase the Council’s market share whilst also being mindful of the impact this may have on the local economy</w:t>
      </w:r>
    </w:p>
    <w:p w:rsidR="00EB2221" w:rsidRPr="00EB2221" w:rsidRDefault="00EB2221" w:rsidP="00EB2221">
      <w:pPr>
        <w:spacing w:after="240"/>
        <w:rPr>
          <w:rFonts w:cs="Arial"/>
          <w:sz w:val="24"/>
          <w:szCs w:val="24"/>
        </w:rPr>
      </w:pPr>
    </w:p>
    <w:p w:rsidR="00EB2221" w:rsidRDefault="00EB2221" w:rsidP="00EB2221">
      <w:pPr>
        <w:rPr>
          <w:rFonts w:cs="Arial"/>
          <w:sz w:val="24"/>
          <w:szCs w:val="24"/>
        </w:rPr>
      </w:pPr>
    </w:p>
    <w:p w:rsidR="00EB2221" w:rsidRPr="006E0D4E" w:rsidRDefault="00EB2221" w:rsidP="00EB2221">
      <w:pPr>
        <w:rPr>
          <w:rFonts w:cs="Arial"/>
          <w:sz w:val="24"/>
          <w:szCs w:val="24"/>
        </w:rPr>
      </w:pPr>
    </w:p>
    <w:p w:rsidR="00EB2221" w:rsidRPr="006E0D4E" w:rsidRDefault="00EB2221" w:rsidP="00EB2221">
      <w:pPr>
        <w:pStyle w:val="HeadingReport2"/>
        <w:numPr>
          <w:ilvl w:val="0"/>
          <w:numId w:val="0"/>
        </w:numPr>
      </w:pPr>
    </w:p>
    <w:p w:rsidR="00BB2572" w:rsidRDefault="00BB2572" w:rsidP="00EB2221">
      <w:pPr>
        <w:spacing w:after="160" w:line="259" w:lineRule="auto"/>
      </w:pPr>
    </w:p>
    <w:sectPr w:rsidR="00BB2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051"/>
    <w:multiLevelType w:val="hybridMultilevel"/>
    <w:tmpl w:val="38B2971E"/>
    <w:lvl w:ilvl="0" w:tplc="F1E0DE34">
      <w:start w:val="1"/>
      <w:numFmt w:val="bullet"/>
      <w:lvlText w:val="•"/>
      <w:lvlJc w:val="left"/>
      <w:pPr>
        <w:tabs>
          <w:tab w:val="num" w:pos="720"/>
        </w:tabs>
        <w:ind w:left="720" w:hanging="360"/>
      </w:pPr>
      <w:rPr>
        <w:rFonts w:ascii="Times New Roman" w:hAnsi="Times New Roman" w:hint="default"/>
      </w:rPr>
    </w:lvl>
    <w:lvl w:ilvl="1" w:tplc="2CE01C1A" w:tentative="1">
      <w:start w:val="1"/>
      <w:numFmt w:val="bullet"/>
      <w:lvlText w:val="•"/>
      <w:lvlJc w:val="left"/>
      <w:pPr>
        <w:tabs>
          <w:tab w:val="num" w:pos="1440"/>
        </w:tabs>
        <w:ind w:left="1440" w:hanging="360"/>
      </w:pPr>
      <w:rPr>
        <w:rFonts w:ascii="Times New Roman" w:hAnsi="Times New Roman" w:hint="default"/>
      </w:rPr>
    </w:lvl>
    <w:lvl w:ilvl="2" w:tplc="59C8D15E" w:tentative="1">
      <w:start w:val="1"/>
      <w:numFmt w:val="bullet"/>
      <w:lvlText w:val="•"/>
      <w:lvlJc w:val="left"/>
      <w:pPr>
        <w:tabs>
          <w:tab w:val="num" w:pos="2160"/>
        </w:tabs>
        <w:ind w:left="2160" w:hanging="360"/>
      </w:pPr>
      <w:rPr>
        <w:rFonts w:ascii="Times New Roman" w:hAnsi="Times New Roman" w:hint="default"/>
      </w:rPr>
    </w:lvl>
    <w:lvl w:ilvl="3" w:tplc="ADC4CAB0" w:tentative="1">
      <w:start w:val="1"/>
      <w:numFmt w:val="bullet"/>
      <w:lvlText w:val="•"/>
      <w:lvlJc w:val="left"/>
      <w:pPr>
        <w:tabs>
          <w:tab w:val="num" w:pos="2880"/>
        </w:tabs>
        <w:ind w:left="2880" w:hanging="360"/>
      </w:pPr>
      <w:rPr>
        <w:rFonts w:ascii="Times New Roman" w:hAnsi="Times New Roman" w:hint="default"/>
      </w:rPr>
    </w:lvl>
    <w:lvl w:ilvl="4" w:tplc="3E444424" w:tentative="1">
      <w:start w:val="1"/>
      <w:numFmt w:val="bullet"/>
      <w:lvlText w:val="•"/>
      <w:lvlJc w:val="left"/>
      <w:pPr>
        <w:tabs>
          <w:tab w:val="num" w:pos="3600"/>
        </w:tabs>
        <w:ind w:left="3600" w:hanging="360"/>
      </w:pPr>
      <w:rPr>
        <w:rFonts w:ascii="Times New Roman" w:hAnsi="Times New Roman" w:hint="default"/>
      </w:rPr>
    </w:lvl>
    <w:lvl w:ilvl="5" w:tplc="664AA332" w:tentative="1">
      <w:start w:val="1"/>
      <w:numFmt w:val="bullet"/>
      <w:lvlText w:val="•"/>
      <w:lvlJc w:val="left"/>
      <w:pPr>
        <w:tabs>
          <w:tab w:val="num" w:pos="4320"/>
        </w:tabs>
        <w:ind w:left="4320" w:hanging="360"/>
      </w:pPr>
      <w:rPr>
        <w:rFonts w:ascii="Times New Roman" w:hAnsi="Times New Roman" w:hint="default"/>
      </w:rPr>
    </w:lvl>
    <w:lvl w:ilvl="6" w:tplc="2DF43200" w:tentative="1">
      <w:start w:val="1"/>
      <w:numFmt w:val="bullet"/>
      <w:lvlText w:val="•"/>
      <w:lvlJc w:val="left"/>
      <w:pPr>
        <w:tabs>
          <w:tab w:val="num" w:pos="5040"/>
        </w:tabs>
        <w:ind w:left="5040" w:hanging="360"/>
      </w:pPr>
      <w:rPr>
        <w:rFonts w:ascii="Times New Roman" w:hAnsi="Times New Roman" w:hint="default"/>
      </w:rPr>
    </w:lvl>
    <w:lvl w:ilvl="7" w:tplc="71D4467C" w:tentative="1">
      <w:start w:val="1"/>
      <w:numFmt w:val="bullet"/>
      <w:lvlText w:val="•"/>
      <w:lvlJc w:val="left"/>
      <w:pPr>
        <w:tabs>
          <w:tab w:val="num" w:pos="5760"/>
        </w:tabs>
        <w:ind w:left="5760" w:hanging="360"/>
      </w:pPr>
      <w:rPr>
        <w:rFonts w:ascii="Times New Roman" w:hAnsi="Times New Roman" w:hint="default"/>
      </w:rPr>
    </w:lvl>
    <w:lvl w:ilvl="8" w:tplc="76A289A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C527F1"/>
    <w:multiLevelType w:val="multilevel"/>
    <w:tmpl w:val="B4CA3B7A"/>
    <w:numStyleLink w:val="Style4"/>
  </w:abstractNum>
  <w:abstractNum w:abstractNumId="2" w15:restartNumberingAfterBreak="0">
    <w:nsid w:val="42FE3CC6"/>
    <w:multiLevelType w:val="multilevel"/>
    <w:tmpl w:val="B4CA3B7A"/>
    <w:styleLink w:val="Style4"/>
    <w:lvl w:ilvl="0">
      <w:start w:val="1"/>
      <w:numFmt w:val="decimal"/>
      <w:pStyle w:val="HeadingReport1"/>
      <w:lvlText w:val="%1.0"/>
      <w:lvlJc w:val="left"/>
      <w:pPr>
        <w:ind w:left="567" w:hanging="567"/>
      </w:pPr>
      <w:rPr>
        <w:rFonts w:hint="default"/>
      </w:rPr>
    </w:lvl>
    <w:lvl w:ilvl="1">
      <w:start w:val="1"/>
      <w:numFmt w:val="decimal"/>
      <w:pStyle w:val="HeadingReport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62E661FD"/>
    <w:multiLevelType w:val="hybridMultilevel"/>
    <w:tmpl w:val="D8BE6A76"/>
    <w:lvl w:ilvl="0" w:tplc="9DF687A4">
      <w:start w:val="1"/>
      <w:numFmt w:val="bullet"/>
      <w:lvlText w:val="•"/>
      <w:lvlJc w:val="left"/>
      <w:pPr>
        <w:tabs>
          <w:tab w:val="num" w:pos="720"/>
        </w:tabs>
        <w:ind w:left="720" w:hanging="360"/>
      </w:pPr>
      <w:rPr>
        <w:rFonts w:ascii="Times New Roman" w:hAnsi="Times New Roman" w:hint="default"/>
      </w:rPr>
    </w:lvl>
    <w:lvl w:ilvl="1" w:tplc="41AE3952" w:tentative="1">
      <w:start w:val="1"/>
      <w:numFmt w:val="bullet"/>
      <w:lvlText w:val="•"/>
      <w:lvlJc w:val="left"/>
      <w:pPr>
        <w:tabs>
          <w:tab w:val="num" w:pos="1440"/>
        </w:tabs>
        <w:ind w:left="1440" w:hanging="360"/>
      </w:pPr>
      <w:rPr>
        <w:rFonts w:ascii="Times New Roman" w:hAnsi="Times New Roman" w:hint="default"/>
      </w:rPr>
    </w:lvl>
    <w:lvl w:ilvl="2" w:tplc="7A9C464E" w:tentative="1">
      <w:start w:val="1"/>
      <w:numFmt w:val="bullet"/>
      <w:lvlText w:val="•"/>
      <w:lvlJc w:val="left"/>
      <w:pPr>
        <w:tabs>
          <w:tab w:val="num" w:pos="2160"/>
        </w:tabs>
        <w:ind w:left="2160" w:hanging="360"/>
      </w:pPr>
      <w:rPr>
        <w:rFonts w:ascii="Times New Roman" w:hAnsi="Times New Roman" w:hint="default"/>
      </w:rPr>
    </w:lvl>
    <w:lvl w:ilvl="3" w:tplc="8C2C130A" w:tentative="1">
      <w:start w:val="1"/>
      <w:numFmt w:val="bullet"/>
      <w:lvlText w:val="•"/>
      <w:lvlJc w:val="left"/>
      <w:pPr>
        <w:tabs>
          <w:tab w:val="num" w:pos="2880"/>
        </w:tabs>
        <w:ind w:left="2880" w:hanging="360"/>
      </w:pPr>
      <w:rPr>
        <w:rFonts w:ascii="Times New Roman" w:hAnsi="Times New Roman" w:hint="default"/>
      </w:rPr>
    </w:lvl>
    <w:lvl w:ilvl="4" w:tplc="D65C3DAC" w:tentative="1">
      <w:start w:val="1"/>
      <w:numFmt w:val="bullet"/>
      <w:lvlText w:val="•"/>
      <w:lvlJc w:val="left"/>
      <w:pPr>
        <w:tabs>
          <w:tab w:val="num" w:pos="3600"/>
        </w:tabs>
        <w:ind w:left="3600" w:hanging="360"/>
      </w:pPr>
      <w:rPr>
        <w:rFonts w:ascii="Times New Roman" w:hAnsi="Times New Roman" w:hint="default"/>
      </w:rPr>
    </w:lvl>
    <w:lvl w:ilvl="5" w:tplc="3BBABD60" w:tentative="1">
      <w:start w:val="1"/>
      <w:numFmt w:val="bullet"/>
      <w:lvlText w:val="•"/>
      <w:lvlJc w:val="left"/>
      <w:pPr>
        <w:tabs>
          <w:tab w:val="num" w:pos="4320"/>
        </w:tabs>
        <w:ind w:left="4320" w:hanging="360"/>
      </w:pPr>
      <w:rPr>
        <w:rFonts w:ascii="Times New Roman" w:hAnsi="Times New Roman" w:hint="default"/>
      </w:rPr>
    </w:lvl>
    <w:lvl w:ilvl="6" w:tplc="8472B02C" w:tentative="1">
      <w:start w:val="1"/>
      <w:numFmt w:val="bullet"/>
      <w:lvlText w:val="•"/>
      <w:lvlJc w:val="left"/>
      <w:pPr>
        <w:tabs>
          <w:tab w:val="num" w:pos="5040"/>
        </w:tabs>
        <w:ind w:left="5040" w:hanging="360"/>
      </w:pPr>
      <w:rPr>
        <w:rFonts w:ascii="Times New Roman" w:hAnsi="Times New Roman" w:hint="default"/>
      </w:rPr>
    </w:lvl>
    <w:lvl w:ilvl="7" w:tplc="0F708936" w:tentative="1">
      <w:start w:val="1"/>
      <w:numFmt w:val="bullet"/>
      <w:lvlText w:val="•"/>
      <w:lvlJc w:val="left"/>
      <w:pPr>
        <w:tabs>
          <w:tab w:val="num" w:pos="5760"/>
        </w:tabs>
        <w:ind w:left="5760" w:hanging="360"/>
      </w:pPr>
      <w:rPr>
        <w:rFonts w:ascii="Times New Roman" w:hAnsi="Times New Roman" w:hint="default"/>
      </w:rPr>
    </w:lvl>
    <w:lvl w:ilvl="8" w:tplc="4FD63A7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lvlOverride w:ilvl="2">
      <w:lvl w:ilvl="2">
        <w:start w:val="1"/>
        <w:numFmt w:val="decimal"/>
        <w:lvlText w:val="%1.%2.%3"/>
        <w:lvlJc w:val="left"/>
        <w:pPr>
          <w:ind w:left="1701" w:hanging="567"/>
        </w:pPr>
        <w:rPr>
          <w:rFonts w:hint="default"/>
        </w:r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21"/>
    <w:rsid w:val="00255E33"/>
    <w:rsid w:val="002D1350"/>
    <w:rsid w:val="00BB2572"/>
    <w:rsid w:val="00EB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369F-FEC9-40C1-B861-3B4EDB99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2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EB2221"/>
    <w:pPr>
      <w:numPr>
        <w:numId w:val="1"/>
      </w:numPr>
    </w:pPr>
  </w:style>
  <w:style w:type="paragraph" w:customStyle="1" w:styleId="HeadingReport1">
    <w:name w:val="Heading Report 1"/>
    <w:basedOn w:val="ListParagraph"/>
    <w:qFormat/>
    <w:rsid w:val="00EB2221"/>
    <w:pPr>
      <w:numPr>
        <w:numId w:val="2"/>
      </w:numPr>
      <w:tabs>
        <w:tab w:val="num" w:pos="360"/>
      </w:tabs>
      <w:spacing w:line="276" w:lineRule="auto"/>
      <w:ind w:left="720" w:right="621" w:firstLine="0"/>
    </w:pPr>
    <w:rPr>
      <w:rFonts w:cs="Arial"/>
      <w:b/>
      <w:caps/>
      <w:sz w:val="20"/>
      <w:szCs w:val="24"/>
      <w:lang w:eastAsia="en-GB"/>
    </w:rPr>
  </w:style>
  <w:style w:type="paragraph" w:customStyle="1" w:styleId="HeadingReport2">
    <w:name w:val="Heading Report 2"/>
    <w:basedOn w:val="ListParagraph"/>
    <w:link w:val="HeadingReport2Char"/>
    <w:qFormat/>
    <w:rsid w:val="00EB2221"/>
    <w:pPr>
      <w:numPr>
        <w:ilvl w:val="1"/>
        <w:numId w:val="2"/>
      </w:numPr>
      <w:spacing w:line="276" w:lineRule="auto"/>
      <w:ind w:right="621"/>
    </w:pPr>
    <w:rPr>
      <w:rFonts w:cs="Arial"/>
      <w:sz w:val="20"/>
      <w:szCs w:val="24"/>
      <w:lang w:eastAsia="en-GB"/>
    </w:rPr>
  </w:style>
  <w:style w:type="character" w:customStyle="1" w:styleId="HeadingReport2Char">
    <w:name w:val="Heading Report 2 Char"/>
    <w:basedOn w:val="DefaultParagraphFont"/>
    <w:link w:val="HeadingReport2"/>
    <w:rsid w:val="00EB2221"/>
    <w:rPr>
      <w:rFonts w:ascii="Arial" w:hAnsi="Arial" w:cs="Arial"/>
      <w:sz w:val="20"/>
      <w:szCs w:val="24"/>
      <w:lang w:eastAsia="en-GB"/>
    </w:rPr>
  </w:style>
  <w:style w:type="paragraph" w:styleId="ListParagraph">
    <w:name w:val="List Paragraph"/>
    <w:basedOn w:val="Normal"/>
    <w:uiPriority w:val="34"/>
    <w:qFormat/>
    <w:rsid w:val="00EB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4884">
      <w:bodyDiv w:val="1"/>
      <w:marLeft w:val="0"/>
      <w:marRight w:val="0"/>
      <w:marTop w:val="0"/>
      <w:marBottom w:val="0"/>
      <w:divBdr>
        <w:top w:val="none" w:sz="0" w:space="0" w:color="auto"/>
        <w:left w:val="none" w:sz="0" w:space="0" w:color="auto"/>
        <w:bottom w:val="none" w:sz="0" w:space="0" w:color="auto"/>
        <w:right w:val="none" w:sz="0" w:space="0" w:color="auto"/>
      </w:divBdr>
      <w:divsChild>
        <w:div w:id="1692562469">
          <w:marLeft w:val="547"/>
          <w:marRight w:val="0"/>
          <w:marTop w:val="0"/>
          <w:marBottom w:val="0"/>
          <w:divBdr>
            <w:top w:val="none" w:sz="0" w:space="0" w:color="auto"/>
            <w:left w:val="none" w:sz="0" w:space="0" w:color="auto"/>
            <w:bottom w:val="none" w:sz="0" w:space="0" w:color="auto"/>
            <w:right w:val="none" w:sz="0" w:space="0" w:color="auto"/>
          </w:divBdr>
        </w:div>
      </w:divsChild>
    </w:div>
    <w:div w:id="2086343420">
      <w:bodyDiv w:val="1"/>
      <w:marLeft w:val="0"/>
      <w:marRight w:val="0"/>
      <w:marTop w:val="0"/>
      <w:marBottom w:val="0"/>
      <w:divBdr>
        <w:top w:val="none" w:sz="0" w:space="0" w:color="auto"/>
        <w:left w:val="none" w:sz="0" w:space="0" w:color="auto"/>
        <w:bottom w:val="none" w:sz="0" w:space="0" w:color="auto"/>
        <w:right w:val="none" w:sz="0" w:space="0" w:color="auto"/>
      </w:divBdr>
      <w:divsChild>
        <w:div w:id="1467507264">
          <w:marLeft w:val="547"/>
          <w:marRight w:val="0"/>
          <w:marTop w:val="0"/>
          <w:marBottom w:val="240"/>
          <w:divBdr>
            <w:top w:val="none" w:sz="0" w:space="0" w:color="auto"/>
            <w:left w:val="none" w:sz="0" w:space="0" w:color="auto"/>
            <w:bottom w:val="none" w:sz="0" w:space="0" w:color="auto"/>
            <w:right w:val="none" w:sz="0" w:space="0" w:color="auto"/>
          </w:divBdr>
        </w:div>
        <w:div w:id="866455984">
          <w:marLeft w:val="547"/>
          <w:marRight w:val="0"/>
          <w:marTop w:val="0"/>
          <w:marBottom w:val="240"/>
          <w:divBdr>
            <w:top w:val="none" w:sz="0" w:space="0" w:color="auto"/>
            <w:left w:val="none" w:sz="0" w:space="0" w:color="auto"/>
            <w:bottom w:val="none" w:sz="0" w:space="0" w:color="auto"/>
            <w:right w:val="none" w:sz="0" w:space="0" w:color="auto"/>
          </w:divBdr>
        </w:div>
        <w:div w:id="1566914878">
          <w:marLeft w:val="547"/>
          <w:marRight w:val="0"/>
          <w:marTop w:val="0"/>
          <w:marBottom w:val="240"/>
          <w:divBdr>
            <w:top w:val="none" w:sz="0" w:space="0" w:color="auto"/>
            <w:left w:val="none" w:sz="0" w:space="0" w:color="auto"/>
            <w:bottom w:val="none" w:sz="0" w:space="0" w:color="auto"/>
            <w:right w:val="none" w:sz="0" w:space="0" w:color="auto"/>
          </w:divBdr>
        </w:div>
        <w:div w:id="118497129">
          <w:marLeft w:val="547"/>
          <w:marRight w:val="0"/>
          <w:marTop w:val="0"/>
          <w:marBottom w:val="240"/>
          <w:divBdr>
            <w:top w:val="none" w:sz="0" w:space="0" w:color="auto"/>
            <w:left w:val="none" w:sz="0" w:space="0" w:color="auto"/>
            <w:bottom w:val="none" w:sz="0" w:space="0" w:color="auto"/>
            <w:right w:val="none" w:sz="0" w:space="0" w:color="auto"/>
          </w:divBdr>
        </w:div>
        <w:div w:id="1458647538">
          <w:marLeft w:val="547"/>
          <w:marRight w:val="0"/>
          <w:marTop w:val="0"/>
          <w:marBottom w:val="240"/>
          <w:divBdr>
            <w:top w:val="none" w:sz="0" w:space="0" w:color="auto"/>
            <w:left w:val="none" w:sz="0" w:space="0" w:color="auto"/>
            <w:bottom w:val="none" w:sz="0" w:space="0" w:color="auto"/>
            <w:right w:val="none" w:sz="0" w:space="0" w:color="auto"/>
          </w:divBdr>
        </w:div>
        <w:div w:id="1036347832">
          <w:marLeft w:val="547"/>
          <w:marRight w:val="0"/>
          <w:marTop w:val="0"/>
          <w:marBottom w:val="240"/>
          <w:divBdr>
            <w:top w:val="none" w:sz="0" w:space="0" w:color="auto"/>
            <w:left w:val="none" w:sz="0" w:space="0" w:color="auto"/>
            <w:bottom w:val="none" w:sz="0" w:space="0" w:color="auto"/>
            <w:right w:val="none" w:sz="0" w:space="0" w:color="auto"/>
          </w:divBdr>
        </w:div>
        <w:div w:id="1254437425">
          <w:marLeft w:val="547"/>
          <w:marRight w:val="0"/>
          <w:marTop w:val="0"/>
          <w:marBottom w:val="240"/>
          <w:divBdr>
            <w:top w:val="none" w:sz="0" w:space="0" w:color="auto"/>
            <w:left w:val="none" w:sz="0" w:space="0" w:color="auto"/>
            <w:bottom w:val="none" w:sz="0" w:space="0" w:color="auto"/>
            <w:right w:val="none" w:sz="0" w:space="0" w:color="auto"/>
          </w:divBdr>
        </w:div>
        <w:div w:id="1626617808">
          <w:marLeft w:val="547"/>
          <w:marRight w:val="0"/>
          <w:marTop w:val="0"/>
          <w:marBottom w:val="240"/>
          <w:divBdr>
            <w:top w:val="none" w:sz="0" w:space="0" w:color="auto"/>
            <w:left w:val="none" w:sz="0" w:space="0" w:color="auto"/>
            <w:bottom w:val="none" w:sz="0" w:space="0" w:color="auto"/>
            <w:right w:val="none" w:sz="0" w:space="0" w:color="auto"/>
          </w:divBdr>
        </w:div>
        <w:div w:id="733625086">
          <w:marLeft w:val="547"/>
          <w:marRight w:val="0"/>
          <w:marTop w:val="0"/>
          <w:marBottom w:val="240"/>
          <w:divBdr>
            <w:top w:val="none" w:sz="0" w:space="0" w:color="auto"/>
            <w:left w:val="none" w:sz="0" w:space="0" w:color="auto"/>
            <w:bottom w:val="none" w:sz="0" w:space="0" w:color="auto"/>
            <w:right w:val="none" w:sz="0" w:space="0" w:color="auto"/>
          </w:divBdr>
        </w:div>
        <w:div w:id="232156464">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Chadderton</dc:creator>
  <cp:keywords/>
  <dc:description/>
  <cp:lastModifiedBy>Charlotte Patterson</cp:lastModifiedBy>
  <cp:revision>2</cp:revision>
  <dcterms:created xsi:type="dcterms:W3CDTF">2018-11-19T18:13:00Z</dcterms:created>
  <dcterms:modified xsi:type="dcterms:W3CDTF">2018-11-19T18:13:00Z</dcterms:modified>
</cp:coreProperties>
</file>